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C95C1" w14:textId="77F0B2C8" w:rsidR="006A37E8" w:rsidRDefault="006A37E8" w:rsidP="006A37E8">
      <w:pPr>
        <w:pStyle w:val="ListParagraph"/>
        <w:numPr>
          <w:ilvl w:val="0"/>
          <w:numId w:val="1"/>
        </w:numPr>
      </w:pPr>
      <w:r>
        <w:t>It is generally accepted within eye care that medical management of glaucoma can cause or exacerbate signs and symptoms of ocular surface disease.  Each additional BAK-preserved drop doubles the odds of corneal or conjunctival staining.</w:t>
      </w:r>
    </w:p>
    <w:p w14:paraId="57BF5BBA" w14:textId="48028EF9" w:rsidR="006A37E8" w:rsidRDefault="006A37E8">
      <w:r>
        <w:tab/>
      </w:r>
      <w:r>
        <w:tab/>
      </w:r>
      <w:r w:rsidRPr="006A37E8">
        <w:t xml:space="preserve">Zhang X, et al. Ocular surface disease and glaucoma medications: a clinical approach. Eye &amp; Contact Lens </w:t>
      </w:r>
      <w:proofErr w:type="gramStart"/>
      <w:r w:rsidRPr="006A37E8">
        <w:t>2019;45:11</w:t>
      </w:r>
      <w:proofErr w:type="gramEnd"/>
      <w:r w:rsidRPr="006A37E8">
        <w:t>-18.</w:t>
      </w:r>
    </w:p>
    <w:p w14:paraId="159FEC40" w14:textId="7CADEC46" w:rsidR="006A37E8" w:rsidRDefault="006A37E8" w:rsidP="006A37E8">
      <w:pPr>
        <w:pStyle w:val="ListParagraph"/>
        <w:numPr>
          <w:ilvl w:val="0"/>
          <w:numId w:val="1"/>
        </w:numPr>
      </w:pPr>
      <w:r>
        <w:t>Benzalkonium chloride containing drops cause meibomian gland blockage, dysfunction, and dropout.</w:t>
      </w:r>
    </w:p>
    <w:p w14:paraId="5F259B6B" w14:textId="2533D25B" w:rsidR="006A37E8" w:rsidRDefault="006A37E8">
      <w:r>
        <w:tab/>
      </w:r>
      <w:r>
        <w:tab/>
      </w:r>
      <w:proofErr w:type="spellStart"/>
      <w:r w:rsidRPr="006A37E8">
        <w:t>Arita</w:t>
      </w:r>
      <w:proofErr w:type="spellEnd"/>
      <w:r w:rsidRPr="006A37E8">
        <w:t xml:space="preserve"> R, et al. Comparison of the long-term effects of various topical antiglaucoma medications on meibomian glands. Cornea </w:t>
      </w:r>
      <w:proofErr w:type="gramStart"/>
      <w:r w:rsidRPr="006A37E8">
        <w:t>2012;31:1229</w:t>
      </w:r>
      <w:proofErr w:type="gramEnd"/>
      <w:r w:rsidRPr="006A37E8">
        <w:t>-34.</w:t>
      </w:r>
    </w:p>
    <w:p w14:paraId="6B37398A" w14:textId="333C935F" w:rsidR="00554DAD" w:rsidRDefault="004251D5" w:rsidP="006A37E8">
      <w:pPr>
        <w:pStyle w:val="ListParagraph"/>
        <w:numPr>
          <w:ilvl w:val="0"/>
          <w:numId w:val="1"/>
        </w:numPr>
      </w:pPr>
      <w:r w:rsidRPr="004251D5">
        <w:t xml:space="preserve">The combination of </w:t>
      </w:r>
      <w:r>
        <w:t>a prostaglandin</w:t>
      </w:r>
      <w:r w:rsidRPr="004251D5">
        <w:t xml:space="preserve"> and</w:t>
      </w:r>
      <w:r w:rsidRPr="004251D5">
        <w:t xml:space="preserve"> </w:t>
      </w:r>
      <w:r w:rsidRPr="004251D5">
        <w:t>benzalkonium chloride is more toxic than either agent in isolation​</w:t>
      </w:r>
      <w:r w:rsidR="006A37E8">
        <w:t>.</w:t>
      </w:r>
    </w:p>
    <w:p w14:paraId="13A938B0" w14:textId="5019B61D" w:rsidR="004251D5" w:rsidRDefault="004251D5">
      <w:r>
        <w:tab/>
      </w:r>
      <w:r w:rsidR="006A37E8">
        <w:tab/>
      </w:r>
      <w:proofErr w:type="spellStart"/>
      <w:r w:rsidRPr="004251D5">
        <w:t>Rath</w:t>
      </w:r>
      <w:proofErr w:type="spellEnd"/>
      <w:r w:rsidRPr="004251D5">
        <w:t xml:space="preserve"> A, et al. In vitro effects of benzalkonium chloride and prostaglandins on human meibomian gland epithelial cells. Ann </w:t>
      </w:r>
      <w:proofErr w:type="spellStart"/>
      <w:r w:rsidRPr="004251D5">
        <w:t>Anat</w:t>
      </w:r>
      <w:proofErr w:type="spellEnd"/>
      <w:r w:rsidRPr="004251D5">
        <w:t xml:space="preserve"> </w:t>
      </w:r>
      <w:proofErr w:type="gramStart"/>
      <w:r w:rsidRPr="004251D5">
        <w:t>2019;222:129</w:t>
      </w:r>
      <w:proofErr w:type="gramEnd"/>
      <w:r w:rsidRPr="004251D5">
        <w:t>-38.</w:t>
      </w:r>
    </w:p>
    <w:p w14:paraId="6F520544" w14:textId="17E9464D" w:rsidR="004251D5" w:rsidRDefault="004251D5" w:rsidP="006A37E8">
      <w:pPr>
        <w:pStyle w:val="ListParagraph"/>
        <w:numPr>
          <w:ilvl w:val="0"/>
          <w:numId w:val="1"/>
        </w:numPr>
      </w:pPr>
      <w:r w:rsidRPr="004251D5">
        <w:t>Rates of non-adherence to treatment are nearly triple in patients using preserved as opposed to preservative-free medications, primarily due to the prevalence of ocular surface disease</w:t>
      </w:r>
      <w:r w:rsidR="006A37E8">
        <w:t>.</w:t>
      </w:r>
    </w:p>
    <w:p w14:paraId="793C7874" w14:textId="056C5433" w:rsidR="004251D5" w:rsidRDefault="004251D5">
      <w:r>
        <w:tab/>
      </w:r>
      <w:r w:rsidR="006A37E8">
        <w:tab/>
      </w:r>
      <w:r w:rsidRPr="004251D5">
        <w:t xml:space="preserve">Wolfram C, et al. Patient-reported nonadherence with glaucoma therapy. J </w:t>
      </w:r>
      <w:proofErr w:type="spellStart"/>
      <w:r w:rsidRPr="004251D5">
        <w:t>Ocul</w:t>
      </w:r>
      <w:proofErr w:type="spellEnd"/>
      <w:r w:rsidRPr="004251D5">
        <w:t xml:space="preserve"> </w:t>
      </w:r>
      <w:proofErr w:type="spellStart"/>
      <w:r w:rsidRPr="004251D5">
        <w:t>Pharmacol</w:t>
      </w:r>
      <w:proofErr w:type="spellEnd"/>
      <w:r w:rsidRPr="004251D5">
        <w:t xml:space="preserve"> </w:t>
      </w:r>
      <w:proofErr w:type="spellStart"/>
      <w:r w:rsidRPr="004251D5">
        <w:t>Ther</w:t>
      </w:r>
      <w:proofErr w:type="spellEnd"/>
      <w:r w:rsidRPr="004251D5">
        <w:t xml:space="preserve"> </w:t>
      </w:r>
      <w:proofErr w:type="gramStart"/>
      <w:r w:rsidRPr="004251D5">
        <w:t>2019;35:223</w:t>
      </w:r>
      <w:proofErr w:type="gramEnd"/>
      <w:r w:rsidRPr="004251D5">
        <w:t>-8</w:t>
      </w:r>
    </w:p>
    <w:p w14:paraId="536EA2FA" w14:textId="7BC23F10" w:rsidR="004251D5" w:rsidRDefault="004251D5" w:rsidP="006A37E8">
      <w:pPr>
        <w:pStyle w:val="ListParagraph"/>
        <w:numPr>
          <w:ilvl w:val="0"/>
          <w:numId w:val="1"/>
        </w:numPr>
      </w:pPr>
      <w:r>
        <w:t>Topical glaucoma therapy with the preservative benzalkonium chloride induces a condition known as “glaucoma therapy-related ocular surface disease”</w:t>
      </w:r>
      <w:r w:rsidR="006A37E8">
        <w:t>.</w:t>
      </w:r>
    </w:p>
    <w:p w14:paraId="1340F453" w14:textId="27E6DDF4" w:rsidR="004251D5" w:rsidRDefault="004251D5">
      <w:r>
        <w:tab/>
      </w:r>
      <w:r w:rsidR="006A37E8">
        <w:tab/>
      </w:r>
      <w:r w:rsidRPr="004251D5">
        <w:t>Hollo G, et al. Preservative-free prostaglandin analogs and prostaglandin/timolol fixed combinations in the treatment of glaucoma: efficacy, safety, and potential advantages. Drugs 2017; doi.org/10.1007/s40265-017-0843-9</w:t>
      </w:r>
    </w:p>
    <w:p w14:paraId="4F67FCF5" w14:textId="7088C048" w:rsidR="004251D5" w:rsidRDefault="004251D5" w:rsidP="006A37E8">
      <w:pPr>
        <w:pStyle w:val="ListParagraph"/>
        <w:numPr>
          <w:ilvl w:val="0"/>
          <w:numId w:val="1"/>
        </w:numPr>
      </w:pPr>
      <w:r>
        <w:t xml:space="preserve">Glaucoma therapy-related ocular surface disease </w:t>
      </w:r>
      <w:r w:rsidRPr="004251D5">
        <w:t>Increase</w:t>
      </w:r>
      <w:r>
        <w:t>s</w:t>
      </w:r>
      <w:r w:rsidRPr="004251D5">
        <w:t xml:space="preserve"> in frequency and severity with number of drops and duration of therapy</w:t>
      </w:r>
      <w:r w:rsidR="006A37E8">
        <w:t>.</w:t>
      </w:r>
    </w:p>
    <w:p w14:paraId="0A7B4829" w14:textId="5EDDA0AC" w:rsidR="004251D5" w:rsidRDefault="004251D5">
      <w:r>
        <w:tab/>
      </w:r>
      <w:r w:rsidR="006A37E8">
        <w:tab/>
      </w:r>
      <w:proofErr w:type="spellStart"/>
      <w:r w:rsidRPr="004251D5">
        <w:t>Pisella</w:t>
      </w:r>
      <w:proofErr w:type="spellEnd"/>
      <w:r w:rsidRPr="004251D5">
        <w:t xml:space="preserve"> PJ, et al. Prevalence of ocular symptoms and signs with preserved and preservative-free glaucoma medications. Br J </w:t>
      </w:r>
      <w:proofErr w:type="spellStart"/>
      <w:r w:rsidRPr="004251D5">
        <w:t>Ophthalmol</w:t>
      </w:r>
      <w:proofErr w:type="spellEnd"/>
      <w:r w:rsidRPr="004251D5">
        <w:t xml:space="preserve"> </w:t>
      </w:r>
      <w:proofErr w:type="gramStart"/>
      <w:r w:rsidRPr="004251D5">
        <w:t>2002;86:418</w:t>
      </w:r>
      <w:proofErr w:type="gramEnd"/>
      <w:r w:rsidRPr="004251D5">
        <w:t>-23</w:t>
      </w:r>
    </w:p>
    <w:p w14:paraId="362D54B5" w14:textId="008F980E" w:rsidR="004251D5" w:rsidRDefault="004251D5" w:rsidP="006A37E8">
      <w:pPr>
        <w:pStyle w:val="ListParagraph"/>
        <w:numPr>
          <w:ilvl w:val="0"/>
          <w:numId w:val="1"/>
        </w:numPr>
      </w:pPr>
      <w:r>
        <w:t>Up to 60% of patients with medically managed glaucoma have ocular surface disease​</w:t>
      </w:r>
      <w:r>
        <w:t>, this is n</w:t>
      </w:r>
      <w:r>
        <w:t>early 3x the prevalence in the general population</w:t>
      </w:r>
      <w:r w:rsidR="006A37E8">
        <w:t>.</w:t>
      </w:r>
    </w:p>
    <w:p w14:paraId="2432FF9A" w14:textId="45722BAE" w:rsidR="004251D5" w:rsidRDefault="004251D5" w:rsidP="004251D5">
      <w:r>
        <w:tab/>
      </w:r>
      <w:r w:rsidR="006A37E8">
        <w:tab/>
      </w:r>
      <w:proofErr w:type="spellStart"/>
      <w:r w:rsidRPr="004251D5">
        <w:t>Fechtner</w:t>
      </w:r>
      <w:proofErr w:type="spellEnd"/>
      <w:r w:rsidRPr="004251D5">
        <w:t xml:space="preserve"> RD, et al. Prevalence of ocular surface complaint in patients with glaucoma using topical intraocular pressure-lowering medications. Cornea </w:t>
      </w:r>
      <w:proofErr w:type="gramStart"/>
      <w:r w:rsidRPr="004251D5">
        <w:t>2010;29:618</w:t>
      </w:r>
      <w:proofErr w:type="gramEnd"/>
      <w:r w:rsidRPr="004251D5">
        <w:t>-21</w:t>
      </w:r>
    </w:p>
    <w:sectPr w:rsidR="00425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9C2D01"/>
    <w:multiLevelType w:val="hybridMultilevel"/>
    <w:tmpl w:val="6C383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D5"/>
    <w:rsid w:val="004251D5"/>
    <w:rsid w:val="00550DF1"/>
    <w:rsid w:val="00554DAD"/>
    <w:rsid w:val="006A37E8"/>
    <w:rsid w:val="00FB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0FEE3"/>
  <w15:chartTrackingRefBased/>
  <w15:docId w15:val="{77454175-7E96-4D85-90E3-3810AC3C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Cymbor</dc:creator>
  <cp:keywords/>
  <dc:description/>
  <cp:lastModifiedBy>Michael Cymbor</cp:lastModifiedBy>
  <cp:revision>1</cp:revision>
  <dcterms:created xsi:type="dcterms:W3CDTF">2020-09-03T21:24:00Z</dcterms:created>
  <dcterms:modified xsi:type="dcterms:W3CDTF">2020-09-04T00:41:00Z</dcterms:modified>
</cp:coreProperties>
</file>